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C1BAA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Convenção Coletiva De Trabalho 2017/2018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SP004376/2018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09/05/2018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MR047992/2017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46406.000404/2017-98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04/08/2017 </w:t>
                        </w:r>
                      </w:p>
                    </w:tc>
                  </w:tr>
                </w:tbl>
                <w:p w:rsidR="00000000" w:rsidRDefault="00AC1BAA">
                  <w:pPr>
                    <w:rPr>
                      <w:rFonts w:eastAsia="Times New Roman"/>
                    </w:rPr>
                  </w:pPr>
                </w:p>
                <w:p w:rsidR="00000000" w:rsidRDefault="00AC1BAA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AC1BA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SIND TRAB INDS CONST MOBIL M IND MIRASSOL E VOTUPORANGA, CNPJ n. 51.847.812/0001-08, neste ato representado(a) por seu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Presidente, Sr(a). GILMAR ANTONIO GUILHEN;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FED.T.I.C.C.P.P.G.E.T.M.II.E.M, CNPJ n. 60.505.252/0001-02, neste ato representado(a) por seu Vice-Presidente, Sr(a). GILMAR ANTONIO GUILHEN;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SINDICATO DAS INDUSTRIAS DO MOBILIARIO DE VOTUPORANGA, CNPJ n.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59.855.601/0001-29, neste ato representado(a) por seu Presidente, Sr(a). AGNALDO ALVARO GIOLO;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celebram a presente CONVENÇÃO COLETIVA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CLÁUSULA PRIMEIRA - VIGÊNCIA E DA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da presente Convenção Coletiva de Trabalho no período de 01º de maio de 2017 a 30 de abril de 2018 e a data-base da categoria em 01º de maio.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presente Convenção Coletiva de Trabalho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DOS TRABALHADORES NAS INDÚSTRIAS DO MOBILIÁRIO. OS MUNICÍPIOS DESTE IC QUE NÃO ESTÃO SENDO REPRESENTADOS PELOS SINDICATOS CONVENENTES, ESTÃO REPRESENTADOS PELA FEDERAÇÃO CONVENENTE DESTA CONVENÇÃO COLETIVA QUE REPRESENTA SOMENT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 OS MUNICÍPIOS INORGANIZADOS EM SINDICATOS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Buritama/SP, Floreal/SP, Gastão Vidigal/SP, Macaubal/SP, Macedônia/SP, Meridiano/SP, Monções/SP, Monte Aprazível/SP, Nhandeara/SP, Palmeira D'Oeste/SP, Planalto/SP, Sebastianópolis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Do Sul/SP, Tanabi/SP, Turiúba/SP e Votuporanga/SP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SALÁRIO NORMATIVO.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partir de 1º de maio de 2017 o salário normativo para os empregados abrangidos pela presente Convenção ser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á de R$ 1.328,28 (um mil trezentos e vinte e oito reais e vinte e oito centavos) mensais. 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REAJUSTE E AUMENTO SALARIAL.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salários dos empregados abrangidos por esta Convenção Coletiva serão reajusta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dos a partir de 01/maio/2017 com o percentual total e negociado de 4,5% (quatro vírgula cinco por cento), a ser aplicado sobre os salários vigentes em abril/2017.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Primeiro:-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Aplicando-se o percentual em 4,5% (quatro ví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rgula cinco por cento) convencionado entre as partes na conformidade desta cláusula, ficam reajustados e aumentados os salários fechando-se a data base de maio/2017.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Segundo: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as empresas que não concederam reajuste, a diferença salarial rela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tiva a maio/2017, decorrente da aplicação do reajuste ora pactuado, deverá ser paga na folha de pagamento de junho de 2017, de forma destacada, sob o título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“DIFERENÇA ACORDO COLETIVO 01/05/2017 a 30/04/2018”.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COMPENSAÇÕES.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Serão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pensados do reajustamento previsto na Cláusula Quarta supra, os reajustes e antecipações, aumentos espontâneos ou compulsórios decorrentes de Convenções ou Acordos Coletivos de Trabalho, ou Sentença Normativa havidas no período de 01/05/2016 à 30/04/2017.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Não serão compensados os reajustes decorrentes de promoção, transferência e equiparação salarial, implemento de idade, término de aprendizagem.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ATRASO NO PAGAMENTO DE SALÁRIO.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Em ocorrendo a 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eincidência pela empresa do não pagamento dos salários até o 5o. (quinto) dia útil de cada mês subsequente ao vencido, será aplicada a multa no valor de uma diária do salário nominal do empregado, por dia de atraso, limitada em seu total a um salário norma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tivo de efetivação previsto na cláusula 03ª, desta Convenção, vigente á data da infração, revertida em favor do empregado prejudicado.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Quando o vencimento recair em sábado, o pagamento do salário será feito no dia imediatamente anterior; quando o vencim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ento recair em domingo ou feriado será feito no primeiro dia útil seguinte.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ADIANTAMENTO DE SALÁRIO (VALE).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Garantidas condições mais favoráveis, as empresas concederão adiantamento salarial a seus empregados até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dia 20 (vinte) de cada mês, em quantia não inferior a 40% (quarenta por cento) do salário mensal, inclusive no curso do aviso prévio trabalhado. Se o dia 20 (vinte) coincidir com o sábado, 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pagamento do vale será antecipado para o primeiro dia útil ante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rior. Se o dia 20 (vinte) coincidir com domingo ou feriado, o vale será pago no primeiro dia útil imediatamente posterior. A presente condição não se aplicará àqueles empregados que tiverem faltado injustificadamente ao serviço por mais de 03 (três) dias,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até o dia 15 (quinze) do mês.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 empresas que concederem outros benefícios que gerem descontos no salário, tais como vale-farmácia, vale-supermercado, vale-extra e outros mais, e que já pagarem vale de adiantamento salarial de 30% (trinta por cento), fi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cam desobrigadas de aumentar seu valor.    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Os empregados que optarem por pagamento salarial único, deverão fazê-lo por escrito, desobrigando a empresa do cumprimento da presente cláusula.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COMPROVANTES DE PAGAMENTO.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brigatório de comprovante de pagamento, contendo a identificação da empresa e com a discriminação das importâncias pagas e descontos efetuados.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PAGAMENTO DE SALÁRIOS MEDIANTE CHEQUE OU BANCO.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que não efetuarem o pagamento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salários e adiantamento em moeda corrente, deverão proporcionar aos empregados tempo hábil para recebimento no banco, dentro da jornada de trabalho, sem prejuízo dos salários, ou compensações e sem que o empregado seja prejudicado no seu horário de refe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ição.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PAGAMENTO DO TRIGÉSIMO PRIMEIRO DIA.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meses de 31(trinta e um) dias as empresas deverão acrescentar em folha de pagamento do mês correspondente, 01(um) dia de salário aos empregados mensalistas.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Isonomia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LA DÉCIMA PRIMEIRA - SALÁRIO SUBSTITUIÇÃO.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substituto o mesmo salário percebido pelo empregado substituído, sem considerar vantagens pessoais, desde que permaneça na função por mais de 90 (noventa) dias consecutivos.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Outras norma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SALÁRIO ADMISSÃO.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admitido para a mesma função de outro, dispensado sem justa causa, será garantido o menor salário da função, sem consider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 vantagens pessoais e ressalvados os casos de funções individualizadas, ou seja, aquelas que possuam um único empregado no exercício.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COMPLEMENTAÇÃO DO AUXÍLIO PREVIDENCIÁRIO.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concederão ao empregado afastado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serviço por motivo de saúde (doença ou acidente), a complementação do auxílio previdenciário para que perceba a mesma remuneração que receberia em atividade, durante o prazo de 60 (sessenta) dias a contar da data do afastamento concedido pelo órgão previ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denciário.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13º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COMPLEMENTAÇÃO 13º SAL. DO EMPREGADO AFASTADO POR ACIDENTE TRABALHO OU DOEN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afastado por acidente do trabalho ou doença, a partir de 01/mai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o/2017, por período superior a 15 (quinze) e inferior a 180 (cento e oitenta) dias, percebendo auxílio da Previdência Social, será garantido, no primeiro ano de afastamento, a complementação do 13º Salário.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CIMA QUINTA - HORAS EXTRAS.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Estabelecem as partes a fixação do percentual mínimo de 50%(cinquenta por cento), conforme dispõe o inciso XVI do artigo 7º da Constituição Federal para as horas extraordinárias trabalhadas de segunda à sexta-feira.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</w:t>
                  </w: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Primeiro: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Fixação do percentual de 100%(cem por cento) para as horas extraordinárias trabalhadas em sábados, domingos e feriados, desde que não tenha sido concedido folga compensatória.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Segundo: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jornada de trabalho dos trabalhadores que exerçam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suas funções em área insalubre, só poderá ser prorrogada atendendo o artigo 60 da C.L.T.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Terceiro: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valor das horas extraordinárias habituais integrarão o valor da remuneração para efeito de pagamento de férias, 13º salário, repouso semanal rem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unerado, aviso prévio e depósito do FGTS.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ADICIONAL NOTURNO.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jornada de trabalho prestadas entre às 22:00 horas e 05:00 horas, serão remuneradas com acréscimo de 25% (vinte e cinco por cento) em relação 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hora normal.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DESPESAS DE REFEIÇÃO (REEMBOLSO).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 o empregado prestador de serviços interno for convocado para prestá-los fora da empresa, a empresa fará o reembolso, contra comprovante, até o valor diá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rio de 1 (uma)  UFESP do mês, para as despesas da refeição que o mesmo tiver. Esta cláusula somente abrangerá aqueles empregados que tenham eventualmente, que deixar os serviços internos para desempenhá-los em locais externos, em horário que alcance o inte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rvalo de refeição e, não atinge aqueles empregados que, por habitualidade ou por condições contratuais tácitas ou expressamente estabelecidas, e inerentes à peculiaridade do seu trabalho, desempenhem os seus serviços também externamente.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OITAVA - CARTÃO ALIMENTAÇÃO.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Mediante as condições aqui estabelecidas, as empresas signatárias do presente, a partir de 01 de maio de 2017 até 30 de abril de 2018 obrigam-se a fornecer mensalmente aos seus empregados, entre o primeiro e o décimo dia úti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 do mês imediatamente posterior ao período aquisitivo, um Cartão Alimentação de R$ 259,00 (duzentos e cinquenta e nove reais), ressalvadas as condições mais favoráveis.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i/>
                      <w:iCs/>
                      <w:sz w:val="21"/>
                      <w:szCs w:val="21"/>
                    </w:rPr>
                    <w:t>Parágrafo Primeiro: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Considera-se período aquisitivo o lapso de tempo que se inicia no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primeiro e termina no último dia do mês calendário, inclusive o período de gozo de férias.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i/>
                      <w:iCs/>
                      <w:sz w:val="21"/>
                      <w:szCs w:val="21"/>
                    </w:rPr>
                    <w:t>Parágrafo Segundo: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Cessará o direito de receber o cartão alimentação para os empregados que se encontrarem em gozo do auxílio doença por período superior a 30 (trint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a) dias. 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i/>
                      <w:iCs/>
                      <w:sz w:val="21"/>
                      <w:szCs w:val="21"/>
                    </w:rPr>
                    <w:t>Parágrafo Terceiro: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Quanto aos empregados afastados por acidente do trabalho, as empresas concederão o cartão alimentação por um período de até 02 (dois) meses, contado a partir da data da ocorrência do acidente.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i/>
                      <w:iCs/>
                      <w:sz w:val="21"/>
                      <w:szCs w:val="21"/>
                    </w:rPr>
                    <w:t>Parágrafo Quarto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: Fica desobrigad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ao cumprimento do presente Acordo as empresas que fornecerem aos seus funcionários almoço ou jantar no local de trabalho ou outro, sendo que o custo da refeição será suportado pelas empresas até o montante do valor do cartão alimentação descrito nesta cl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áusula. O valor excedente será descontado do funcionário em folha de pagamento.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i/>
                      <w:iCs/>
                      <w:sz w:val="21"/>
                      <w:szCs w:val="21"/>
                    </w:rPr>
                    <w:t>Parágrafo Quinto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: Em razão da relevante importância social do Cartão Alimentação, relativamente às </w:t>
                  </w:r>
                  <w:r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  <w:t>faltas injustificadas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fica ajustado para cada ocorrência o desconto de R$ 11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,77 (onze reais e setenta e sete centavos) sobre o valor do cartão alimentação.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Sexto: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or disposição dos signatários do presente acordo e mais o que consta na Lei 6.321/76, e o Decreto Regulamentador n.º 05/91, e suas posteriores alterações, o f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ornecimento do cartão alimentação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ou alimentação na forma do Parágrafo Quarto desta mesma Cláusula, não tem natureza salarial e, portanto, não integra a remuneração do trabalhador para quaisquer efeitos legais.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NONA - AU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XÍLIO CRECHES.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Durante o período de vigência da presente Convenção, as empresas, independentemente do número de funcionários, reembolsarão até o sexto mês de idade da criança, integralmente, as despesas efetuadas com creche ou instituição análoga de sua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livre escolha, caso não haja vagas nas creches ou instituições oferecidas pelo Poder Público,  nos termos da Portaria 670 de 20 de agosto de 1.997, para cada filho. O reembolso poderá, também ser utilizado nos casos de férias ou de licença maternidade. Fi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 convencionado que essa concessão cumpre o quanto dispõem os parágrafos 1º. e 2º.  do artigo 389 da CLT., da Portaria nº 1, baixada pelo Diretor Geral do Departamento Nacional de Segurança e Higiene do Trabalho, em 15/01/1.969, bem como da Portaria nº 3.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296/86, do Ministério do Trabalho. Quando ambos os cônjuges forem empregados da mesma empresa, o pagamento não será cumulativo, obrigando-se os empregados a designarem por escrito, às empresas, o cônjuge que deverá perceber o benefício.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único: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 razão da natureza social, o benefício de que trata esta Cláusula não tem caráter salarial, não se integra ao salário do emprego para nenhum efeito, valor ou forma, inclusive tributário ou previdenciário.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- SEGURO DE VIDA.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Ressalvadas as condições mais favoráveis, as empresas constituirão em favor de seus empregados, sem ônus para estes, um seguro de vida e de acidentes pessoais em grupo, tendo como beneficiários aqueles legalmente identificados jun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to ao INSS, com as seguintes coberturas: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)-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R$ 22.000,00 (vinte e dois mil reais) de cobertura por morte ou invalidez permanente, total ou parcial, do empregado(a), independente do local ocorrido, cujo valor da indenização será de acordo com os critérios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da Apólice contratada.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)-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valor mínimo de um Salário Normativo da categoria vigente à data do falecimento a título de Assistência Funeral.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primeiro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critério da empresa poder-se-á contratar o seguro sem a inclusão da Assistência Funeral, no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entanto, neste caso, na hipótese de falecimento do funcionário a empresa arcará com referida assistência no importe de um salário normativo.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segundo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empregador que por ocasião do óbito ou da incapacitação permanente do trabalhador não tenha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implantado o benefício constante da presente cláusula, ou, estiver inadimplente por falta de pagamento, pagamento após o dia do vencimento ou efetuar o recolhimento por valor inferior ao devido, caberá a este  efetuar a indenização por morte ou invalidez,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ao empregado ou os seus dependentes, em valor equivalente ao dobro do valor da cobertura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em apólice similar, conforme os valores constantes da Tabela da Susep.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Normas para Admissão/Contratação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CONTRATO DE EXPERIÊNCIA.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contrato de experiência terá a duração máxima de 60 (sessenta) dias.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: Para os cargos de supervisão, gerência e chefias terá duração máxima de 90 (noventa) dias.               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LÁUSULA VIGÉSIMA SEGUNDA - PERÍODO DE EXPERIÊNCIA.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ex-empregado readmitido para a mesma função que exercia ao tempo de seu desligamento e que não tenha permanecido fora dos quadros da empresa por mais de 02 (dois) anos, será dispensado do período de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xperiência.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EMPREGADOS EM VIAS DE APOSENTADORIA.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atingido por dispensa sem justa causa e que possua mais de 06 (seis) anos de trabalho na atual empresa e a quem, concomitante e comprov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adamente, falte o máximo de até 12 (doze) meses para aquisição do direito à aposentadoria em seus limites mínimos, a empresa reembolsará as contribuições dele ao INSS (Instituto Nacional de Seguridade Social) que tenham por base o último salário devidament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reajustado, enquanto não conseguir outro emprego e até o prazo máximo correspondente àqueles 12 (doze) meses.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fazer jus a esse reembolso, o empregado fica obrigado a comprovar o efetivo pagamento à Previdência Social da contribuição a ser reembol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sado ou entregar à empresa o carnê do INSS, para que esta efetue, mensalmente, os aludidos pagamentos.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ABONO POR APOSENTADORIA.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com 05 (cinco) ou mais anos ininterruptos de serviço na atual empresa e que dela 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desligar por motivo de aposentadoria, será pago abono equivalente a 1,5 (um e meio) salário normativo previsto na cláusula 03ª (terceira), e vigente à data do desligamento. Se o empregado tiver mais de 10 (dez) anos contínuos de serviço na atual empresa,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receberá abono equivalente a 03 (três) salários normativos previsto na cláusula 03ª (terceira). Se o empregado continuar trabalhando na mesma empresa, após a aposentadoria, o pagamento do abono será garantido apenas por ocasião do desligamento definitivo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empregado. Ficam ressalvadas as condições anteriores já existentes, desde que mais favorável à presente.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RESCISÃO DO CONTRATO DE TRABALHO.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garantido o reajustamento salarial de 4,5% (quatro vírgula cinco por cento) ao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empregados desligados das empresas a partir de 01 de maio de 2017;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A)-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que celebraram as rescisões contratuais de seus empregados entre primeiro de maio/2017 até a data da presente Convenção Coletiva, obrigam-se a efetivarem o pagamento do 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ajuste de 4,5% (quatro vírgula cinco por cento), a título de  complementação das verbas rescisórias, caso não tenham pago.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CARTA - AVISO DISPENSA.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Entrega, contra recibo, de carta aviso de dispensa ao empregado demitido sob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acusação de prática de falta grave.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AVISO PRÉVIO.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casos de rescisão do contrato de trabalho, sem justa causa, por parte do empregador, o aviso prévio, obedecerá aos seguintes critérios: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A)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comunicado pela empresa por escrito e contra recibo: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B)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redução de duas horas diárias, prevista no artigo 488 da CLT, será utilizada atendendo à conveniência do empregado, no início ou no fim da jornada de trabalho, mediante opção única do empregado por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um dos períodos, exercida no ato do recebimento do pré-aviso, da mesma forma, alternativamente, o empregado poderá optar por 07 (sete) dias corridos durante o período;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C)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período superior a 30 (trinta) dias será sempre indenizado, de acordo com a Lei 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º 12.506, de 13/10/2011.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Mão-de-Obra Temporária/Terceirização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MÃO DE OBRA TEMPORÁRIA.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Na execução dos serviços relacionados à atividade produtiva fabril, as empresas não poderão se valer senão de trabalhadores por elas 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ntratados salvo nos casos definidos na Lei n.º 6.019/74, e os casos 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empreitada.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Mão-de-Obra Jovem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TRABALHO EDUCATIVO.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jovem aprendiz, fica garantido o pagamento de salário com base no Salário Mínimo Nacional, proporci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onalmente às horas efetivamente cumpridas.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admissão, demissão e modalidades de 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ANOTAÇÃO NA CARTEIRA DE TRABALHO.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Todo empregado terá sua CTPS anotada pelo empregador dentro do prazo máximo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24(vinte e quatro) horas após admissão.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Qualificação/Formação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AUTOMAÇÃO E DESEMPREGO.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Na automação dos meios de produç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ão, com implantação de novas técnicas, as empresas se dispõem a promover treinamento para que seus funcionários adquiram melhor qualificação em seus novos métodos de trabalho.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SEGUNDA - GARANTIA DE EMPREGO A EMPREGA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DA GESTANTE.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vedada a dispensa sem justa causa da empregada gestante, desde a confirmação da gravidez até 05 (cinco) meses após o parto, conforme dispõe o artigo 10,II, letra "b", do Ato das Disposições Constitucionais Transitórias.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GARANTIA AO EMPREGADO EM IDADE DE PRESTAÇÃO DO SERVIÇO MILITAR.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de emprego ou salário ao empregado menor, em idade de prestação de serviço militar, desde o alistamento até a incorpor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ação e nos 30(trinta) dias após a baixa ou desligamento da unidade em que serviu.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garantia de emprego será extensiva ao empregado menor em idade de prestação do serviço militar, em que for servir o Tiro de Guerra, desde o alistamento até a data de início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do Tiro de Guerra e nos 30(trinta) dias após a baixa do serviço.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de pessoal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PROMOÇÕES.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promoção do empregado para o cargo de nível superior ao exercido, comportará um período experimental não superior 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90 (noventa) dias. Vencido o período experimental a promoção e aumento respectivo de salário serão anotados na CPTS, sendo que o aumento decorrente da promoção não será inferior a 10%. Nas promoções para cargos de Supervisão ou Chefia o prazo experimental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acima poderá ser estendido até 180 dias.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CARTA DE REFERÊNCIA.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Desde que o empregado solicite, a empresa lhe fornecerá carta de referência da qual deverá constar no mínimo, a indicação do período trabalhado.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SEXTA - RECEBIMENTO DO PIS.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Recomenda-se que as empresas, por ocasião da entrega da RAIS, indiquem o Banco e a respectiva Agência para o pagamento do PIS aos seus empregados. Quando para este recebimento, for necessária a ausência do empregado dura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nte o expediente normal de trabalho, a ausência estará justificada até o limite máximo de 04 (quatro) horas, garantida as condições mais favoráveis já existentes. Se o empregado se ausentar por tempo superior ao ora previsto, a falta será considerada para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desconto das horas não trabalhadas, excedentes das 04 (quatro) horas concedidas, sem prejudicar o pagamento do Descanso Semanal Remunerado, das Férias e do 13º Salário.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GUARDA DE BICICLETAS E MOTOS.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empresas, por mera li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beralidade, poderão conceder espaço em suas dependências, para guarda de bicicletas e motocicletas de seus empregados, ressalvados os casos de impossibilidade por falta de espaço físico. A guarda dos veículos mencionados não implica em qualquer responsabil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idade da empresa por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danos, roubo, furto ou qualquer outro sinistro que venha a ocorrer sobres aqueles bens.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PREENCHIMENTO DE FORMULÁRIO PARA PREVIDÊNCIA SOCIAL.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deverão preencher o Atestado de Afastamento e Sal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ário (AAS), quando solicitado por escrito, pelo empregado e fornecê-lo, obedecendo aos seguintes prazos: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fins de obtenção de Auxílio Doença: 05 (cinco) dias úteis;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fins de Aposentadoria: 10 (dez) dias úteis;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Para fins de obtenção de Apos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entadoria Especial: 20 (vinte) dias úteis.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FARMÁCIA.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procederão desde que autorizado pelos trabalhadores, de forma escrita ou verbal, independentemente de notificação, descontos em folha de pagamento, relativament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às notas de farmácia referente a medicamentos e/ou produtos oferecidos a preço de laboratório pelo Sindicato Profissional, ao trabalhador e seus dependentes.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Primeiro: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sindicato remeterá as empresas até o 25º (vigésimo quinto) dia do mês de 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eferência, relatórios discriminando nome dos empregados que procederam retiradas de produtos/medicamentos com respectivos valores a serem descontados em folha de pagamento.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Segundo: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Caberá a empresa comunicar de imediato, ao Sindicato Profissional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os empregados desligados do mês para o bloqueio de vendas na farmácia. 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Terceiro: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Caberá a empresa o repasse ao Sindicato Profissional os valores descontados dos empregados até o 5º(quinto) dia útil do mês subsequente. 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Quarto: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Caso nã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haja qualquer oposição ao desconto no prazo de 10 (dez) dias após o pagamento do salário presume a concordância plena do trabalhador pelo desconto e seu valor.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- PROIBIÇÃO DO USO DO CELULAR.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proibido o trabalhador de ingressar no setor de produção da empresa, em qualquer setor, portanto celular pessoal, mesmo estando desligado, salvo expedição de Norma Interna ou Ordem de Serviço expedida pela empresa e regulamentando de forma diversa.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</w:t>
                  </w: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rágrafo Primeiro: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 empresas fornecerão local próprio para a guarda dos aparelhos celulares.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Segundo: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descumprimento caracteriza falta grave.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QUADRAGÉSIMA PRIMEIRA - DIAS PONTES - COMPENSAÇÃO DOS SÁBADOS.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poderão liberar o trabalho em dias úteis intercalados com feriados e fins de semana, através de compensação, anterior e posterior, dos respectivos dias, desde que aceita a liber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ação e a forma de compensação por no mínimo, 2/3 (dois terços) dos seus empregados, inclusive, mulheres e menores.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Primeiro: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Poderá as empresas utilizar o 31º dia, no mês subsequente, para liberar o trabalho em dias úteis intercalados com feriado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e finais de semana sem a necessidade de votação por parte dos empregados, apenas protocolo da ação junto ao sindicato laboral.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Segundo: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 empresas poderão compensar o sábado não trabalhado, se quiserem, em qualquer dos dias da semana, desde qu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não ultrapasse 10 horas diárias, respeitando o limite de 44 horas semanais de trabalho, não sendo consideradas como horas extras a jornada além da 8ª diária laboradas para efeito de compensação do sábado.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SEGUNDA - ABONO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DE FALTA AO EMPREGADO ESTUDANTE.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Abono de falta ao empregado estudante, para prestação de exames, desde que esteja regularmente matriculado em curso técnico ou superior, ministrado por estabelecimento de ensino oficial, autorizado ou reconhecido, pré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-avisado o empregador com o mínimo de 72 (setenta e duas) horas e com posterior comprovação e desde que o horário dos exames seja coincidente com o horário de trabalho.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AUSÊNCIA JUSTIFICADA.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trabalhador poderá deixar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comparecer ao serviço, sem prejuízo do salário e mediante comprovação, por 01 (um) dia ao ano para levar ao médico filho dependente, quando coincidente com dia normal de trabalho.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QUARTA - BAN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 DE HORAS.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Para o exercício desta cláusula, as empresas deverão formalizar o respectivo acordo de Banco de Horas com o Sindicato dos Trabalhadores da base territorial correspondente, mediante assembleia específica dos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seus empregados, com aprovação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no mínimo 51% (cinquenta e um por cento) dos trabalhadores, registrando o correspondente acordo no Ministério do Trabalho.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Com base no art. 7º, inciso XXVI, da Constituição Federal, no art. 59 da CLT e seus parágrafos, com a redação dada pela Lei nº 9.601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de 21.01.98, instituem o Banco de Horas, que será regido por um sistema de débito e crédito, conforme condições abaixo: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A partir do ato solene de assinatura deste instrumento estará instituído no âmbito do departamento da EMPREGADORA, o sistema de BANCO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DE HORAS, que irá possibilitar aos EMPREGADOS armazenarem horas trabalhadas a maior ou a menor, durante a semana/mês e nos moldes do presente acordo.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Fica estabelecido que o limite máximo para a compensação a maior ou a menor, em relação à jornada contratu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al, será compensado no período semestral.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Fica estabelecido que a empregadora para fazer uso deste instrumento quanto a aumento da jornada de trabalho terá que dar ciência as partes envolvidas com um período não inferior a 48 horas de antecedência.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Fica estabelecido, uma jornada máxima de 88 horas para compensação a maior ou a menor durante cada semestre.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No final do período estabelecido no item anterior, o saldo de horas deverá ser apurado. As horas restantes do saldo, não compensadas até o final do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período serão remuneradas como extraordinárias nos termos vigente, inclusive quanto aos reflexos.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Havendo débito da parte profissional, o débito será automaticamente transferido para o período subsequente.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Em caso de desligamento de qualquer dos empregado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s abrangidos pelo presente acordo, por iniciativa de qualquer das partes, no caso de saldo positivo, as horas não compensadas, será remunerada como extraordinária na rescisão contratual.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Em caso de desligamento de qualquer dos empregados abrangidos pelo pr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esente acordo, as horas por ele devidas não serão descontadas na rescisão contratual.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As horas “laboradas” excedentes da jornada contratual e compensadas de acordo com os critérios deste acordo não terão caráter de labor extraordinário e para o efeito de c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ompensação serão computados nas bases de uma por uma.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 s saldos positivos de horas poderão ser utilizados para compensação de (pontes) feriados prolongados em final ou inicio de semana.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Se houver interesse do empregado e mediante sua expressa solicitação,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os saldos positivos de horas poderão ser utilizados para compensação em períodos adicionais de férias.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 sistema de flexibilização de jornada de trabalho ora estabelecido não prejudicará o direito dos empregados quanto ao intervalo mínimo de 11 (onze) hor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as consecutivas para descanso entre jornadas, respeitando o limite de 10 horas de jornada máxima conforme art. 59, parágrafo 2. da CLT.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 trabalhador que comprovar estar estudando ou frequentando curso de qualificação está desobrigado de cumprir este acord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Domingo e feriados não faz parte deste acordo, portanto se trabalhado tem que ser remunerado conforme Convenção Coletiva de Trabalho. Aos sábados está autorizado uma jornada não superior a 04 horas de trabalho a ser computados como banco de horas.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 vig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ência do presente acordo será de 01 de maio de 2017 á 30 de abril de 2018 e abrangerá a todos os empregados admitidos no período de vigência, os quais integrarão automaticamente o sistema de BANCO DE HORAS.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Ocorrendo a necessidade de saídas antecipadas ou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entradas tardias, as horas não laboradas por tais motivos serão computadas no BANCO DE HORAS, desde que previamente comunicadas a ocorrência e a necessidade ao superior hierárquico.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O saldo de horas será administrado pelo empregador através de um controle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individual, sendo comunicado aos empregados mensalmente, e entregue um relatório mensalmente junto com o pagamento.</w:t>
                  </w:r>
                </w:p>
                <w:p w:rsidR="00000000" w:rsidRDefault="00AC1B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Ficam excluídos do presente ACORDO: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      a. Os Diretores, Gerentes e Supervisores por exercerem cargo de confiança e por não estarem sujei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tos a controle de horário;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      b. Os trabalhadores avulsos e temporários;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      c. Os terceiros e entre eles, os estagiários;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      d. Os prestadores de Serviços;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      e. Funcionários que exercem atividade externa (Contatos Publicitários).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     19.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Toda compensação deverão atender as necessidades e interesses de ambas as partes.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     20. As partes poderão, por acordo entre elas, alterar, incluir e excluir as condições das cláusulas do Banco de Horas.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Duração e Concessão de Fé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QUINTA - FÉRIAS.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início das férias, coletivas ou individuais, integrais ou parceladas, não poderá coincidir com sextas-feiras, sábados, domingos, feriados ou dias pontes já compensados.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Único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Quando as fé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rias coletivas concedidas parceladamente, abrangerem os dias 25 de Dezembro e 1º de Janeiro, estes dias não serão computados como férias e, portanto, excluídos da contagem dos dias corridos regulamentares.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Remunerada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SE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XTA - LICENÇA CASAMENTO.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 caso de casamento do empregado a licença remunerada será de 03 (três) dias úteis consecutivos.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SÉTIMA - CONVÊNIO MÉDICO.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mpresas, de forma coletiva ou individual oferecerão a seus empregados Convênio Médico e/ou Plano Médico estritamente de assistência ambulatorial, subsidiando no mínimo 50% do valor da mensalidade e 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outros 50% do valor da mensalidade será de responsabili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dade do empregado. O empregado também será responsável por 100% do valor das despesas de co-participação em consultas, exames e outros procedimentos ou outras despesas, ressalvadas as condições mais favoráveis.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1º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atender a assistência ambu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latorial as empresas poderão: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Firmar contratos coletivos ou individuais de prestação de serviços médico ambulatorial; ou,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B)-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Contratar serviços médicos individual ou através de empresa ou cooperativas médica de trabalho (convênio médico e/ou plano médic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o).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2º-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empregado não tendo interesse em aderir ao Convênio e/ou Plano se manifestará por escrito, não recaindo a empresa nenhum ônus pela recusa e pelo fato do empregado ficar sem a devida assistência médica ambulatorial, podendo este aderir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Convênio e/ou Plano a qualquer momento.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3º-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valor de responsabilidade do empregado será descontado mensalmente de seu salário e lançado no recibo de pagamento ficando a empresa responsável pelo repasse.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4º-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 deverá obedec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 às regras da prestação dos serviços médico ambulatorial contratado.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5º-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Havendo interesse do empregado em incluir seus dependentes, de acordo com as regras do Convênio e/ou Plano, será de sua inteira responsabilidade (100%) o pagamento pelo va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lor da mensalidade e do valor de despesas de co-participação em consultas, exames e outros procedimentos ou outras despesas, que poderá ser descontado também de seu salário mensalmente.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6º-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Não terá a empresa qualquer responsabilidade caso haja 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ecusa de inclusão dos dependentes do empregado.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7º-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empresa é isenta de toda e qualquer responsabilidade no tocante ao atendimento oferecido pelo Convênio e/ou Plano e as suas regras e normas.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Não é permitida nenhuma exclusão, separação, divisã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ou distinção aos empregados.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OITAVA - ÁGUA POTÁVEL.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locais de trabalho deve ser fornecido, água fresca e potável em bebedouro elétrico, com jato inclinado.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NONA - UNIFORMES E FERRAMENTAS.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gratuito de uniformes e demais peças de vestimentas e de ferramentas, próprios para o trabalho, aos empregados, com o uso obrigatório por parte destes, quando exigidos pelas empresas, ficando sob a responsabilidade do empregado sua conserv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ação e devolução à empresa quando da cessação da relação de trabalho.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Único: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 empresas fornecerão gratuitamente aos empregados, calçados e vestimentas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adequadas e próprias para o trabalhador que desempenha suas funções nas seções de pintura, fi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cando o empregado responsável pela conservação e devolução destes quando da cessação da relação do trabalho.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CIPA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composi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elei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atribui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es, garantias aos cipeiros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- CIPA.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empresa comunicará o iní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cio do processo eleitoral da CIPA a Entidade Sindical dos Trabalhadores, e após a realização das eleições da CIPA será comunicada também a entidade o resultado, indicando-se os eleitos e os respectivos suplentes.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QUINQUAGÉSIMA PRIMEIRA - ATESTADOS MÉDICOS E ODONTOLÓGICOS.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que não mantêm serviços médicos próprio ou através de convênio, deverão aceitar os atestados médicos e odontológicos expedidos pelo médico ou odontólogo do ambulatório do Sindicat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Sindicalização (campanhas e contratação de sindicalizados)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SEGUNDA - SINDICALIZAÇÃO.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Com objetivo de incrementar a sindicalização (associação ao Sindicato) dos empregados, as empresas colocarão à disp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osição do Sindicato dos Trabalhadores convenentes, uma vez por ano, local para esse fim.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Acesso do Sindicato ao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TERCEIRA - UTILIZAÇÃO DO QUADRO DE AVISOS.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Sindicato dos Trabalhadores utilizará um quadro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avisos fornecido pela empresa, em local de fácil acesso e visibilidade, para afixação de comunicados, informações e convocações, bem como receptor para boletins.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Todo material a ser exposto no quadro de aviso, será previamente submetido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aprovação da empresa.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QUARTA - DIRIGENTES DO SINDICATO: AUSÊNCIAS.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dirigentes sindicais, eleitos para compor a diretoria que administrará o Sindicato, no número máximo legal, no máximo de 02 (dois)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por empresa, não afastados de suas funções na empresa, poderão ausentar-se do serviço até 05 (cinco) dias, por ano, sem prejuízo nas férias, 13º salário e descanso semanal remunerado, desde que avisada a empresa, por escrito, pelo Sindicato, com antecedên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cia mínima de 48 (quarenta e oito) horas.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QUINTA - MENSALIDADE SINDICAL.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descontarão as mensalidades do Sindicato diretamente do salário de seus empregados só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cios desde que expressamente autorizadas por esses. O valor dos descontos das mensalidades ficará à disposição do Sindicato beneficiário a partir do 10º (décimo) dia do mês subsequente ao competente para o desconto.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QUINQUAGÉSIMA SEXTA - CONTRIB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UIÇÃO NEGOCIAÇÃO/ASSISTENCIAL DOS EMPREGADOS.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Considerando que as assembleias foram abertas à categoria, inclusive aos não filiados, na forma do artigo 617, parágrafo segundo, da CLT;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Considerando que a categoria como um todo, independentemente de filia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ção sindical, foi representada nas negociações coletivas, de acordo com o estabelecido nos incisos III e VI do artigo oitavo da Constituição da República e abrangida, sem nenhuma distinção na presente convenção coletiva;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Considerando que a representação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categoria, associados ou não e sua abrangência no instrumento normativo, não afeta a liberdade sindical consagrada no inciso V do artigo oitavo da Constituição Federal;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Considerando que a mesma assembleia que autorizou o Sindicato a manter negociações col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etivas e celebrar este acordo fixou livre e democraticamente a contribuição de custeio abaixo especificada: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empresa descontará em folha de pagamento a Contribuição Assistencial de seus empregados, sindicalizados ou não, conforme o que foi deliberado pela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respectiva Assembleia Geral do Sindicato de Trabalhadores, recolhendo-as aos mesmos, até o dia 10 (dez) de cada mês subsequente à competência do salário de maio de 2017, juntamente com relação nominal dos empregados para controle da entidade com o valor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contribuição correspondente.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1º: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Sindicato dos Trabalhadores dará publicidade da contribuição, inclusive valor, periodicidade para desconto e recolhimento aos empregados e à empresa, com prazo hábil para desconto, bem como, para que os não 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sociados, no prazo de 30 (trinta) dias úteis, a partir da publicidade deste instrumento exerça seu direito de oposição junto ao Sindicato dos Trabalhadores.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2º: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sindicato profissional, desde já isenta a empresa de qualquer responsabilidade sobre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descontos realizados por força do artigo 8º, IV, da Constituição Federal, e assume a obrigação para com a devolução de eventuais valores cobrados em reclamação trabalhista, desde que conste da Ata da Audiência de Conciliação ou de Sentença.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3</w:t>
                  </w: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º: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 contribuição dos empregados foi fixada da seguinte forma: 1,5% ao mês (exceto sobre o mês de março e sobre o 13º Salário) de todos os trabalhadores integrantes da categoria, de acordo com as Assembleias Gerais Extraordinárias de 12/04/2017 em Votupora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nga e de 13/04/2017 em Mirassol, ambas publicadas no Jornal Agora - São Paulo,  em 07/04/2017, Página A-13 e no Jornal Informativo da entidade - O Serra Pau , durante o mês de abril/2017.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4ª: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Aplica-se o parágrafo 2º desta cláusula também em relaç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ão às denominadas contribuições assistenciais previstas nas Convenções anteriores.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SÉTIMA - CONTRIBUIÇÃO ASSISTENCIAL PATRONAL.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abrangidas pela categoria econômica específica das Indústrias de Móveis, devidamente cad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astradas junto ao Sindicato Patronal representativo, deverão recolher a Contribuição Assistencial Empresarial, com fundamento nos artigos 8º(oitavo), inciso IV da Constituição Federal e artigo 548 da C.L.T., conforme critério e demais condições diferenciad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as, respectivamente aprovados na Assembleia Patronal convocada para este específico fim.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Primeiro: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Esta Contribuição Assistencial Patronal deverá ser recolhida em favor do Sindicato Patronal respectivo, até o dia 10(dez) de cada mês, junto à enti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dade bancária e conta corrente mencionada na competente guia de recolhimento expedida pelo SINDICATO PATRONAL e encaminhada às empresas, em tempo hábil, nos valores estabelecidos na conformidade da especificidade da atividade e do respectivo efetivo de emp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regados por estabelecimento, segunda a tabela e demais condições a seguir: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N.º Empregados                                                 Valor da Contribuição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00  a   10                                                             15%   do salário normativ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11  a   20                                                             25%   do salário normativo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21  a   30                                                             35%   do salário normativo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31   a   40                                              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            45%   do salário normativo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41   a   50                                                            55%   do salário normativo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51   a   60                                                            65%   do salário normativo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61   a 100         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                                                 75%   do salário normativo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101 a 150                                                            85%   do salário normativo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151 a 200                                                            95%   do salár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io normativo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Acima de 201                                                     100% do salário normativo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Segundo: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recolhimento desta contribuição fora do prazo estabelecido no parágrafo antecedente, sujeitará a empresa ao acréscimo de multa de 1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0% (dez por cento) e de juros de mora de 1,0% (um inteiro por cento) por mês incidente sobre o valor da contribuição, acrescido de multa, sem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prejuízo da correção monetária.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Terceiro: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Quando solicitado pelo Sindicato Patronal, as empresas fornecerão, no prazo de 30 (trinta) dias contados a partir do recebimento da solicitação, cópias das guias de recolhimento da contribuição estabelecida no 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caput,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acompanhada da relação nominal dos empre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gados.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OITAVA - MUDANÇA/TRANSFERÊNCIA DE ENDEREÇO.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deverão no prazo de 30(trinta) dias informar ao Sindicato dos Empregados e dos Empregadores, quando for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caso, o novo endereço da sua atividade.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NONA - COMISSÃO PARITÁRIA.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instituída a Comissão Paritária entre as partes, Sindicato Profissional e Sindicato Patronal, com a finalidade buscar solução dos seguintes itens: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A)-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tudar a criação de um Piso Salarial Profissional, ou seja salários diferenciados entre qualificados e não qualificados, com a finalidade de valorizar a qualificação profissional na categoria. Nesta tarefa fará parte da comissão membros do Senai (CEMAD de 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otuporanga);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B)-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Estudar uma solução para  o cumprimento da Lei 10.101, de 19 de dezembro de 2000, que diz sobre a PLR (Participação nos Lucros e Resultados);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C)-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Estudar  uma redação para que as empresas possam implantar o Banco de Horas;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D)-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Buscar soluç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ões de problemas ocorridos tanto no que dispõe a aplicação dos preceitos contidos na presente Convenção Coletiva de Trabalho, como também aqueles decorrentes entre as empresas e seus empregados no que concerne a relação capital e trabalho dentro que dispõe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 legislação trabalhista.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1.º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 A comissão será composta por 02 (dois) membros por entidade sindical  envolvida, e obrigatoriamente realizarão uma reunião mensal, sempre  na 2ª (segundas-feiras) de cada mês, às oito horas, na sede do Sindicato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Indústria do Mobiliário de Mirassol ou onde a comissão julgar necessário.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2.º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 partes deverão, sem medir esforços, buscar a solução do conflito, orientando seus representados, ou seja, os trabalhadores e as empresas, para que, resolvam a pen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dência dentro do que dispõe a legislação trabalhista e as normas coletivas.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3.º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Não sendo possível a solução durante o decorrer da reunião mensal, as partes se comprometem manter a continuidade dos entendimentos, inclusive, quando for o caso,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iretamente com as partes envolvidas.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- JUÍZO COMPETENTE.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competente a Justiça do Trabalho para dirimir quaisquer divergências surgidas na aplicação da presente Conven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ção, desde que esgotadas as tentativas de solução amigável.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Renovação/Rescisão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PRIMEIRA - PRORROGAÇÃO, REVISÃO, DENÚNCIA OU REVOGAÇÃO.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processo de prorrogação, revisão, denúncia ou revogação, total ou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arcial, da presente Convenção ficará às normas estabelecidas pelo artigo 615 da Consolidação das Leis do Trabalho.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SEGUNDA - MULTA.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Multa equivalente a 1% (um por cento) do salário normativo, por empregado pre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judicado, no caso de descumprimento das obrigações de fazer constantes desta Convenção, revertendo o benefício em favor da parte prejudicada, excluídas as cláusulas que tenham combinações específicas, legais ou nesta Convenção.</w:t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Único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Antes de quaisquer outras medidas, o Sindicato dos Trabalhadores deverá proceder notificação à empresa, apontando a irregularidade e concedendo-lhe 30 (trinta) dias para normalizar a situação.</w:t>
                  </w:r>
                </w:p>
                <w:p w:rsidR="00000000" w:rsidRDefault="00AC1BAA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8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C1BA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GILMAR ANTONIO GUILHEN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 TRAB INDS CONS</w:t>
                        </w:r>
                        <w:r>
                          <w:rPr>
                            <w:rFonts w:eastAsia="Times New Roman"/>
                          </w:rPr>
                          <w:t xml:space="preserve">T MOBIL M IND MIRASSOL E VOTUPORANGA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GILMAR ANTONIO GUILHEN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Vice-Presidente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FED.T.I.C.C.P.P.G.E.T.M.II.E.M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AGNALDO ALVARO GIOLO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t xml:space="preserve">SINDICATO DAS INDUSTRIAS DO MOBILIARIO DE VOTUPORANGA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LABORAL MIRASSOL PARTE 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C1BAA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 - ATA LABORAL MIRASSOL PARTE II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C1BAA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III - ATA LABORAL MIRASSOL PARTE III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C1BAA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IV - ATA LABORAL VOTUPORANGA PARTE 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C1BAA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V - ATA LABORAL VOTUPORANGA PARTE II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C1BAA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VI - ATA LABORAL VOTUPORANGA PARTE III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C1BAA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VII - ATA FETICOM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12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C1BAA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VIII - ATA PATRONAL VOTUPORANGA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C1BA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13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C1BA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do Trabalho e Emprego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AC1BAA">
            <w:pPr>
              <w:rPr>
                <w:rFonts w:eastAsia="Times New Roman"/>
              </w:rPr>
            </w:pPr>
          </w:p>
        </w:tc>
      </w:tr>
    </w:tbl>
    <w:p w:rsidR="00AC1BAA" w:rsidRDefault="00AC1BAA">
      <w:pPr>
        <w:rPr>
          <w:rFonts w:eastAsia="Times New Roman"/>
        </w:rPr>
      </w:pPr>
    </w:p>
    <w:sectPr w:rsidR="00AC1BAA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6816"/>
    <w:multiLevelType w:val="multilevel"/>
    <w:tmpl w:val="9DBC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82AEB"/>
    <w:rsid w:val="00A82AEB"/>
    <w:rsid w:val="00A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mte.gov.br/sistemas/mediador/imagemAnexo/MR045979_20172017_07_17T15_47_44.pdf" TargetMode="External"/><Relationship Id="rId13" Type="http://schemas.openxmlformats.org/officeDocument/2006/relationships/hyperlink" Target="http://www3.mte.gov.br/sistemas/mediador/imagemAnexo/MR047992_20172017_07_25T09_43_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3.mte.gov.br/sistemas/mediador/imagemAnexo/MR045979_20172017_07_17T15_46_00.pdf" TargetMode="External"/><Relationship Id="rId12" Type="http://schemas.openxmlformats.org/officeDocument/2006/relationships/hyperlink" Target="http://www3.mte.gov.br/sistemas/mediador/imagemAnexo/MR045979_20172017_07_17T15_52_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45979_20172017_07_17T15_44_27.pdf" TargetMode="External"/><Relationship Id="rId11" Type="http://schemas.openxmlformats.org/officeDocument/2006/relationships/hyperlink" Target="http://www3.mte.gov.br/sistemas/mediador/imagemAnexo/MR045979_20172017_07_17T15_51_3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3.mte.gov.br/sistemas/mediador/imagemAnexo/MR045979_20172017_07_17T15_50_3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te.gov.br/sistemas/mediador/imagemAnexo/MR045979_20172017_07_17T15_49_2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7299</Words>
  <Characters>39415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Convenção Coletiva </vt:lpstr>
    </vt:vector>
  </TitlesOfParts>
  <Company/>
  <LinksUpToDate>false</LinksUpToDate>
  <CharactersWithSpaces>46621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Convenção Coletiva</dc:title>
  <dc:creator>Usuario</dc:creator>
  <cp:lastModifiedBy>Usuario</cp:lastModifiedBy>
  <cp:revision>2</cp:revision>
  <dcterms:created xsi:type="dcterms:W3CDTF">2018-05-14T11:39:00Z</dcterms:created>
  <dcterms:modified xsi:type="dcterms:W3CDTF">2018-05-14T11:39:00Z</dcterms:modified>
</cp:coreProperties>
</file>