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E0876">
                  <w:pPr>
                    <w:spacing w:after="240"/>
                    <w:jc w:val="center"/>
                    <w:rPr>
                      <w:rFonts w:ascii="Arial" w:eastAsia="Times New Roman" w:hAnsi="Arial" w:cs="Arial"/>
                      <w:caps/>
                      <w:sz w:val="21"/>
                      <w:szCs w:val="21"/>
                    </w:rPr>
                  </w:pP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</w:rPr>
                    <w:t xml:space="preserve">Convenção Coletiva De Trabalho 2015/2016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84"/>
                    <w:gridCol w:w="150"/>
                    <w:gridCol w:w="217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E087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4E087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E087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SP010815/2015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E087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4E087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E087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25/09/2015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E087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DA SOLICITAÇÃO: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4E087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E087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MR050998/2015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E087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DO PROCESSO: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4E087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E087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46406.000482/2015-21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E087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DO PROTOCOLO: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4E087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E087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10/08/2015 </w:t>
                        </w:r>
                      </w:p>
                    </w:tc>
                  </w:tr>
                </w:tbl>
                <w:p w:rsidR="00000000" w:rsidRDefault="004E0876">
                  <w:pPr>
                    <w:rPr>
                      <w:rFonts w:eastAsia="Times New Roman"/>
                    </w:rPr>
                  </w:pPr>
                </w:p>
                <w:p w:rsidR="00000000" w:rsidRDefault="004E0876">
                  <w:pPr>
                    <w:pStyle w:val="NormalWeb"/>
                  </w:pPr>
                  <w:r>
                    <w:rPr>
                      <w:b/>
                      <w:bCs/>
                    </w:rPr>
                    <w:t>Confira a autenticidade no endereço http://www3.mte.gov.br/sistemas/mediador/.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000000" w:rsidRDefault="004E0876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SIND TRAB INDS CONST MOBIL M IND MIRASSOL E VOTUPORANGA, CNPJ n. 51.847.812/0001-08, neste ato representado(a) por seu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Presidente, Sr(a). GILMAR ANTONIO GUILHEN;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FED.T.I.C.C.P.P.G.E.T.M.II.E.M, CNPJ n. 60.505.252/0001-02, neste ato representado(a) por seu Vice-Presidente, Sr(a). GILMAR ANTONIO GUILHEN;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SINDICATO DA INDUSTRIA DO MOBILIARIO DE MIRASSOL-SP, CNPJ n. 71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.746.655/0001-51, neste ato representado(a) por seu Presidente, Sr(a). PEDRO BENVINDO RODRIGUES;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celebram a presente CONVENÇÃO COLETIVA DE TRABALHO, estipulando as condições de trabalho previstas nas cláusulas seguintes: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PRIMEIRA - VIGÊNCIA E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DATA-BASE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partes fixam a vigência da presente Convenção Coletiva de Trabalho no período de 01º de maio de 2015 a 30 de abril de 2016 e a data-base da categoria em 01º de maio.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SEGUNDA - ABRANGÊNCIA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presente Convenção Coletiva de Trabal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ho abrangerá a(s) categoria(s)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TRABALHADORES NAS INDÚSTRIAS DO MOBILIÁRIO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com abrangência territorial em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Bálsamo/SP, Jaci/SP, Mirassol/SP, Mirassolândia/SP e Neves Paulista/SP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Salários, Reajustes e Pagamento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Piso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TERCEIRA - SALÁ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RIO NORMATIVO.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partir de 1º de maio de 2015 o salário normativo para os empregados abrangidos pela presente Convenção passa a ser o seguinte: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A) 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Entre 01 de maio/2015 e 31 de julho/2015 o Salário Normativo será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de R$ 1.139,55 (um mil, cento e trinta e nove reais e cinquenta e cinco centavos);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B) 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partir de agosto de 2015 o Piso Normativo para a ser R$ 1.155,53 (um mil cento e cinquenta e cinco reais e cinquenta e três centavos) mensais. 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Reajustes/Correções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QUARTA - REAJUSTE E AUMENTO SALARIAL.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Os salários dos empregados abrangidos por esta Convenção Coletiva serão reajustados com percentual total e negociado de 8,50% (oito e meio por cento) a ser aplicado sobre os salários vigentes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em abril/2015, sendo: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A) 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 7,00% (sete por cento) retroagidos em 01 de maio/2015;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B) 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  1,5% (um e meio por cento) a partir de agosto/2015.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Parágrafo Primeiro: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Referidos percentuais incidem sobre os salários vigentes em 01/04/2015.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Parágrafo Segundo: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plicando-se o percentual em 8,50% (oito e meio por cento) convencionado entre as partes na conformidade desta cláusula, ficam reajustados e aumentados os salários fechando-se a data base de maio/2015.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Parágrafo Terceiro: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Para as empresas que não concederam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reajuste, a diferença salarial relativa entre maio/2015 e julho/2015, decorrente da aplicação do reajuste ora pactuado, deverá ser paga até a folha de pagamento de agosto de 2015, de forma destacada, sob o título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“DIFERENÇA ACORDO COLETIVO 01/05/2015 a 30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/04/2016”.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QUINTA - COMPENSAÇÕES.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Serão compensados do reajustamento previsto na Cláusula Quarta supra, os reajustes e antecipações, aumentos espontâneos ou compulsórios decorrentes de Convenções ou Acordos Coletivos de Trabalho, ou Sentença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Normativa havidas no período de 01/05/2014 à 30/04/2015. Não serão compensados os reajustes decorrentes de promoção, transferência e equiparação salarial, implemento de idade, término de aprendizagem.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Pagamento de Salário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Formas e Prazos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USULA SEXTA - ATRASO NO PAGAMENTO DE SALÁRIO.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Em ocorrendo a reincidência pela empresa do não pagamento dos salários até o 5o. (quinto) dia útil de cada mês subsequente ao vencido, será aplicada a multa no valor de uma diária do salário nominal do empre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gado, por dia de atraso, limitada em seu total a um salário normativo de efetivação previsto na cláusula 03ª, desta Convenção, vigente á data da infração, revertida em favor do empregado prejudicado.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A)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Quando o vencimento recair em sábado, o pagamento do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salário será feito no dia imediatamente anterior; quando o vencimento recair em domingo ou feriado será feito no primeiro dia útil seguinte.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br/>
                    <w:t xml:space="preserve">CLÁUSULA SÉTIMA - ADIANTAMENTO DE SALÁRIO (VALE).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A)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Garantidas condições mais favoráveis, as empresas concede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rão adiantamento salarial a seus empregados até o dia 20 (vinte) de cada mês, em quantia não inferior a 40% (quarenta por cento) do salário mensal, inclusive no curso do aviso prévio trabalhado. Se o dia 20 (vinte) coincidir com o sábado, o pagamento do va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le será antecipado para o primeiro dia útil anterior. Se o dia 20 (vinte) coincidir com domingo ou feriado, o vale será pago no primeiro dia útil imediatamente posterior. A presente condição não se aplicará àqueles empregados que tiverem faltado injustific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adamente ao serviço por mais de 03 (três) dias, até o dia 15 (quinze) do mês.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B)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As empresas que concederem outros benefícios que gerem descontos no salário, tais como vale-farmácia, vale-supermercado, vale-extra e outros mais, e que já pagarem vale de adi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antamento salarial de 30% (trinta por cento), ficam desobrigadas de aumentar seu valor.    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C)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Os empregados que optarem por pagamento salarial único, deverão fazê-lo por escrito, desobrigando a empresa do cumprimento da presente cláusula.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OITAV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 - COMPROVANTES DE PAGAMENTO.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Fornecimento obrigatório de comprovante de pagamento, contendo a identificação da empresa e com a discriminação das importâncias pagas e descontos efetuados.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NONA - PAGAMENTO DE SALÁRIOS MEDIANTE CHEQUE OU BANCO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que não efetuarem o pagamento dos salários e adiantamento em moeda corrente, deverão proporcionar aos empregados tempo hábil para recebimento no banco, dentro da jornada de trabalho, sem prejuízo dos salários, ou compensações e sem que o 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mpregado seja prejudicado no seu horário de refeição.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- PAGAMENTO DO TRIGÉSIMO PRIMEIRO DIA.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Nos meses de 31(trinta e um) dias as empresas deverão acrescentar em folha de pagamento do mês correspondente, 01(um) dia de salário aos empre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gados mensalistas.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Isonomia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PRIMEIRA - SALÁRIO SUBSTITUIÇÃO.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Garantia ao empregado substituto o mesmo salário percebido pelo empregado substituído, sem considerar vantagens pessoais, desde que permaneça na função por mais 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 90 (noventa) dias consecutivos.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normas referentes a salários, reajustes, pagamentos e critérios para cálculo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SEGUNDA - SALÁRIO ADMISSÃO.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Ao empregado admitido para a mesma função de outro, dispensado sem justa causa, será g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arantido o menor salário da função, sem considerar vantagens pessoais e ressalvados os casos de funções individualizadas, ou seja, aquelas que possuam um único empregado no exercício.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TERCEIRA - COMPLEMENTAÇÃO DO AUXÍLIO PREVIDENCIÁRIO.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concederão ao empregado afastado do serviço por motivo de saúde (doença ou acidente), a complementação do auxílio previdenciário para que perceba a mesma remuneração que receberia em atividade, durante o prazo de 60 (sessenta) dias a contar 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data do afastamento concedido pelo órgão previdenciário.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Gratificações, Adicionais, Auxílios e Outros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13º Salário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QUARTA - COMPLEMENTAÇÃO 13º SAL. DO EMPREGADO AFASTADO POR ACIDENTE TRABALHO OU DOEN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Ao empregado afastado por acidente do trabalho ou doença, a partir de 01maio 2015, por período superior a 15 (quinze) e inferior a 180 (cento e oitenta) dias, percebendo auxílio da Previdência Social, será garantido, no primeiro ano de afastamento, a compl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ementação do 13º Salário.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Adicional de Hora-Extra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QUINTA - HORAS EXTRAS.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Estabelecem as partes a fixação do percentual mínimo de 50%(cinquenta por cento), conforme dispõe o inciso XVI do artigo 7º da Constituição Federal para as hor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extraordinárias trabalhadas de segunda à sexta-feira.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Parágrafo Primeiro: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Fixação do percentual de 100%(cem por cento) para as horas extraordinárias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trabalhadas em sábados, domingos e feriados, desde que não tenha sido concedido folga compensatória.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Par</w:t>
                  </w: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ágrafo Segundo: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jornada de trabalho dos trabalhadores que exerçam suas funções em área insalubre, só poderá ser prorrogada atendendo o artigo 60 da C.L.T.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Parágrafo Terceiro: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O valor das horas extraordinárias habituais integrarão o valor da remuneração p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ara efeito de pagamento de férias, 13º salário, repouso semanal remunerado, aviso prévio e depósito do FGTS.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Adicional Noturno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SEXTA - ADICIONAL NOTURNO.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jornada de trabalho prestadas entre às 22:00 horas e 05:00 horas, serão remu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neradas com acréscimo de 25% (vinte e cinco por cento) em relação à hora normal.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Alimentação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SÉTIMA - DESPESAS DE REFEIÇÃO (REEMBOLSO).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Se o empregado prestador de serviços interno for convocado para prestá-los fora da empre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sa, a empresa fará o reembolso, contra comprovante, até o valor diário de 1 (uma)  UFESP do mês, para as despesas da refeição que o mesmo tiver. Esta cláusula somente abrangerá aqueles empregados que tenham eventualmente, que deixar os serviços internos pa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ra desempenhá-los em locais externos, em horário que alcance o intervalo de refeição e, não atinge aqueles empregados que, por habitualidade ou por condições contratuais tácitas ou expressamente estabelecidas, e inerentes à peculiaridade do seu trabalho, 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esempenhem os seus serviços também externamente.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OITAVA - CARTÃO ALIMENTAÇÃO.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Mediante as condições aqui estabelecidas, as empresas signatárias do presente, a partir de 01 de maio de 2015 até 30 de abril de 2016 obrigam-se a fornecer m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ensalmente aos seus empregados, entre o primeiro e o décimo dia útil do mês imediatamente posterior ao período aquisitivo, um Cartão Alimentação (ressalvadas as condições mais favoráveis), com os seguintes valores: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A) 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Entre maio/2015 e julho/2015 um Car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tão Alimentação no valor de R$ 220,00 (duzentos e vinte reais);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B) 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partir de agosto/2015 o Cartão Alimentação passa a ser R$ 225,00 (duzentos e vinte e cinco reais),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Parágrafo Primeiro: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Para as empresas que não concederam o Cartão Alimentação,  reajus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tado no mês de maio/2015, a diferença relativa de maio/2015, junho/2015 e julho será acrescentado no mês de agosto/2015, no valor de R$ 45,00 (quarenta e cinco reais).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Parágrafo Segundo: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Considera-se período aquisitivo o lapso de tempo que se inicia no pri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meiro e termina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no último dia do mês calendário, inclusive o período de gozo de férias.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Parágrafo Terceiro: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Cessará o direito de receber o cartão alimentação para os empregados que se encontrarem em gozo do auxílio doença por período superior a 30 (trinta)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dias.  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Parágrafo Quarto: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Quanto aos empregados afastados por acidente do trabalho, as empresas concederão o cartão alimentação por um período de até 02 (dois) meses, contado a partir da data da ocorrência do acidente.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Parágrafo Quinto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: Fica desobrigada 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cumprimento do presente Acordo as empresas que fornecerem aos seus funcionários almoço ou jantar no local de trabalho ou outro, sendo que o custo da refeição será suportado pelas empresas até o montante do valor do cartão alimentação descrito nesta cláus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ula. O valor excedente será descontado do funcionário em folha de pagamento.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Parágrafo Sexto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: Em razão da relevante importância social do Cartão Alimentação, relativamente às </w:t>
                  </w:r>
                  <w:r>
                    <w:rPr>
                      <w:rFonts w:ascii="Arial" w:hAnsi="Arial" w:cs="Arial"/>
                      <w:sz w:val="21"/>
                      <w:szCs w:val="21"/>
                      <w:u w:val="single"/>
                    </w:rPr>
                    <w:t>faltas injustificadas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 fica ajustado para cada ocorrê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ncia o desconto de R$ 10,23 (dez reais e vinte e três centavos) sobre o valor do cartão alimentação.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Parágrafo Sétimo: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nfase"/>
                      <w:rFonts w:ascii="Arial" w:hAnsi="Arial" w:cs="Arial"/>
                      <w:sz w:val="21"/>
                      <w:szCs w:val="21"/>
                    </w:rPr>
                    <w:t>P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or disposição dos signatários do presente acordo e mais o que consta na Lei 6.321/76, e o Decreto Regulamentador n.º 05/91, e suas poste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riores alterações, o fornecimento do cartão alimentação ou alimentação na forma do Parágrafo Quinto desta mesma Cláusula, não tem natureza salarial e, portanto, não integra a remuneração do trabalhador para quaisquer efeitos legais.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Creche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USULA DÉCIMA NONA - AUXÍLIO CRECHES.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Durante o período de vigência da presente Convenção, as empresas, independentemente do número de funcionários, reembolsarão até o sexto mês de idade da criança, integralmente, as despesas efetuadas com creche ou inst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ituição análoga de sua livre escolha, nos termos da Portaria 670 de 20 de agosto de 1.997, para cada filho. O reembolso poderá, também ser utilizado nos casos de férias ou de licença maternidade. Fica convencionado que essa concessão cumpre o quanto dispõe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m os parágrafos 1º. e 2º.  do artigo 389 da CLT., da Portaria nº 1, baixada pelo Diretor Geral do Departamento Nacional de Segurança e Higiene do Trabalho, em 15/01/1.969, bem como da Portaria nº 3.296/86, do Ministério do Trabalho. Quando ambos os cônjuge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 forem empregados da mesma empresa, o pagamento não será cumulativo, obrigando-se os empregados a designarem por escrito, às empresas, o cônjuge que deverá perceber o benefício.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Seguro de Vida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- SEGURO DE VIDA.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Ressalvadas as condições mais favoráveis, as empresas constituirão em favor de seus empregados, sem ônus para estes, um seguro de vida e de acidentes pessoais em grupo, tendo como beneficiários aqueles legalmente identificados junto ao INSS, com as seguint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es coberturas: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sz w:val="21"/>
                      <w:szCs w:val="21"/>
                    </w:rPr>
                    <w:t>A)-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R$ 22.000,00 (vinte e dois mil reais) de cobertura por morte ou invalidez permanente, total ou parcial, do empregado(a) causada por acidente, independente do local ocorrido.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sz w:val="21"/>
                      <w:szCs w:val="21"/>
                    </w:rPr>
                    <w:t>B)-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O valor mínimo de um Salário Normativo da categoria vigente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à data do falecimento a título de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Assistência Funeral.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Parágrafo primeiro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 –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critério da empresa poder-se-á contratar o seguro sem a inclusão da Assistência Funeral, no entanto, neste caso, na hipótese de falecimento do funcionário a empresa arcará com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referida assistência no importe de um salário normativo.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Parágrafo segundo -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Ao empregador que por ocasião do óbito ou da incapacitação permanente do trabalhador não tenha implantado o benefício constante da presente cláusula, ou, estiver inadimplente p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or falta de pagamento, pagamento após o dia do vencimento ou efetuar o recolhimento por valor inferior ao devido, caberá a este  efetuar a indenização por morte ou invalidez, ao empregado ou os seus dependentes, em valor equivalente ao dobro do valor da co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bertura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em apólice similar, conforme os valores constantes da Tabela da Susep.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Contrato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Admiss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ã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o, Demiss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ã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o, Modalidades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Normas para Admissão/Contratação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PRIMEIRA - CONTRATO DE EXPERIÊNCIA.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contrato de experiênc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ia terá a duração máxima de 60 (sessenta) dias.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Parágrafo Único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: Para os cargos de supervisão, gerência e chefias terá duração máxima de 90 (noventa) dias. 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SEGUNDA - PERÍODO DE EXPERIÊNCIA.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ex-empregado readmitido para a mesma fun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ção que exercia ao tempo de seu desligamento e que não tenha permanecido fora dos quadros da empresa por mais de 02 (dois) anos, será dispensado do período de experiência.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TERCEIRA - RESCISÃO DO CONTRATO DE TRABALHO.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Fica garantido 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reajustamento salarial de 8,50% (oito e meio por cento) aos empregados desligados das empresas a partir de 01 de maio de 2015;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A)-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que celebraram as rescisões contratuais de seus empregados entre primeiro de maio/2015 até a data da presente Co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nvenção Coletiva, obrigam-se a efetivarem o pagamento do reajuste de 8,50% (oito e meio por cento), a título de  complementação das verbas rescisórias.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Desligamento/Demissão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QUARTA - EMPREGADOS EM VIAS DE APOSENTADORIA.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Ao empregado atingido por dispensa sem justa causa e que possua mais de 06 (seis) anos de trabalho na atual empresa e a quem, concomitante e comprovadamente, falte o máximo de até 12 (doze) meses para aquisição do direito à aposentadoria em seus limites mí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nimos, a empresa reembolsará as contribuições dele ao INSS (Instituto Nacional de Seguridade Social) que tenham por base o último salário devidamente reajustado, enquanto não conseguir outro emprego e até o prazo máximo correspondente àqueles 12 (doze) mes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es.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A)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Para fazer jus a esse reembolso, o empregado fica obrigado a comprovar o efetivo pagamento à Previdência Social da contribuição a ser reembolsado ou entregar à empresa o carnê do INSS, para que esta efetue, mensalmente, os aludidos pagamentos.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USULA VIGÉSIMA QUINTA - ABONO POR APOSENTADORIA.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Ao empregado com 05 (cinco) ou mais anos ininterruptos de serviço na atual empresa e que dela se desligar por motivo de aposentadoria, será pago abono equivalente a 1,5 (um e meio) salário normativo previ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sto na cláusula 03ª (terceira), e vigente à data do desligamento. Se o empregado tiver mais de 10 (dez) anos contínuos de serviço na atual empresa, receberá abono equivalente a 03 (três) salários normativos previsto na cláusula 03ª (terceira). Se o emprega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do continuar trabalhando na mesma empresa, após a aposentadoria, o pagamento do abono será garantido apenas por ocasião do desligamento definitivo do empregado. Ficam ressalvadas as condições anteriores já existentes, desde que mais favorável à presente.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Aviso Prévio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SEXTA - CARTA-AVISO DE DISPENSA.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Entrega, contra recibo, de carta aviso de dispensa ao empregado demitido sob a acusação de prática de falta grave.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SÉTIMA - AVISO PRÉVIO.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Nos casos de rescisão do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contrato de trabalho, sem justa causa, por parte do empregador, o aviso prévio, obedecerá aos seguintes critérios: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A)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Será comunicado pela empresa por escrito e contra recibo: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B)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redução de duas horas diárias, prevista no artigo 488 da CLT, será utili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zada atendendo à conveniência do empregado, no início ou no fim da jornada de trabalho, mediante opção única do empregado por um dos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períodos, exercida no ato do recebimento do pré-aviso, da mesma forma, alternativamente, o empregado poderá optar por 07 (s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ete) dias corridos durante o período;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C)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período superior a 30 (trinta) dias será sempre indenizado, de acordo com a Lei nº 12.506, de 13/10/2011.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Mão-de-Obra Temporária/Terceirização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OITAVA - MÃO DE OBRA TEMPORÁRIA.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Na execuçã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dos serviços relacionados à atividade produtiva fabril, as empresas não poderão se valer senão de trabalhadores por elas contratados salvo nos casos definidos na Lei n.º 6.019/74, e os casos de empreitada.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Mão-de-Obra Jovem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NONA -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TRABALHO EDUCATIVO.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Ao jovem aprendiz, fica garantido o pagamento de salário com base no  Salário Mínimo Nacional, proporcionalmente às horas efetivamente cumpridas.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Ficam as empresas abrangidas pelo Sindicato da Indústria do Mobiliário de Mirassol, obr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igadas, quando contratarem menores entre 14 e 18 anos de idade, a observarem o “Termo de Ajustamento de Conduta” – Inquérito Civil registrado em 10/11/97, sob n.º 13/98, firmado em 18/12/97 perante o Ministério Público do Estado de São Paulo, que passa a f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azer parte integrante do presente instrumento.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normas referentes a admissão, demissão e modalidades de contratação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- ANOTAÇÃO NA CARTEIRA DE TRABALHO.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Todo empregado terá sua CTPS anotada pelo empregador dentro do prazo má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ximo de 24(vinte e quatro) horas após admissão.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Relações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Condi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çõ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es de Trabalho, Normas de Pessoal e Estabilidades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Qualificação/Formação Profissional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PRIMEIRA - AUTOMAÇÃO E DESEMPREGO.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Na automação dos meios de pr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odução, com implantação de novas técnicas, as empresas se dispõem a promover treinamento para que seus funcionários adquiram melhor qualificação em seus novos métodos de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trabalho.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Estabilidade Mãe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TRIGÉSIMA SEGUNDA - GARANTIA DE EMPREGO A EMP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REGADA GESTANTE.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Fica vedada a dispensa sem justa causa da empregada gestante, desde a confirmação da gravidez até 05 (cinco) meses após o parto, conforme dispõe o artigo 10,II, letra "b", do Ato das Disposições Constitucionais Transitórias.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Estabilid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ade Serviço Militar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TERCEIRA - GARANTIA AO EMPREGADO EM IDADE DE PRESTAÇÃO DO SERVIÇO MILITAR.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Garantia de emprego ou salário ao empregado menor, em idade de prestação de serviço militar, desde o alistamento até a incorporação e no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 30(trinta) dias após a baixa ou desligamento da unidade em que serviu.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 garantia de emprego será extensiva ao empregado menor em idade de prestação do serviço militar, em que for servir o Tiro de Guerra, desde o alistamento até a data de início do Tiro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de Guerra e nos 30(trinta) dias após a baixa do serviço.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normas de pessoal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QUARTA - PROMOÇÕES.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promoção do empregado para o cargo de nível superior ao exercido, comportará um período experimental não superior a 90 (noven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ta) dias. Vencido o período experimental a promoção e aumento respectivo de salário serão anotados na CPTS, sendo que o aumento decorrente da promoção não será inferior a 10%. Nas promoções para cargos de Supervisão ou Chefia o prazo experimental acima pod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erá ser estendido até 180 dias.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QUINTA - CARTA DE REFERÊNCIA.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Desde que o empregado solicite, a empresa lhe fornecerá carta de referência da qual deverá constar no mínimo, a indicação do período trabalhado.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TRIGÉSIMA SEXT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 - RECEBIMENTO DO PIS.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Recomenda-se que as empresas, por ocasião da entrega da RAIS, indiquem o Banco e a respectiva Agência para o pagamento do PIS aos seus empregados. Quando para este recebimento, for necessária a ausência do empregado durante o exp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ediente normal de trabalho, a ausência estará justificada até o limite máximo de 04 (quatro) horas, garantida as condições mais favoráveis já existentes. Se o empregado se ausentar por tempo superior ao ora previsto, a falta será considerada para desconto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das horas não trabalhadas, excedentes das 04 (quatro) horas concedidas, sem prejudicar o pagamento do Descanso Semanal Remunerado, das Férias e do 13º Salário.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SÉTIMA - GUARDA DE BICICLETAS E MOTOS.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As empresas destinarão espaço em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suas dependências, para guarda de bicicletas e motocicletas de seus empregados, ressalvados os casos de impossibilidade por falta de espaço físico. A guarda dos veículos mencionados não implica em qualquer responsabilidade da empresa por danos.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TRIGÉSIMA OITAVA - PREENCHIMENTO DE FORMULÁRIO PARA PREVIDÊNCIA SOCIAL.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deverão preencher o Atestado de Afastamento e Salário (AAS), quando solicitado por escrito, pelo empregado e fornecê-lo, obedecendo aos seguintes prazos: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A)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Para fins de obtenção de Auxílio Doença: 05 (cinco) dias úteis;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B)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Para fins de Aposentadoria: 10 (dez) dias úteis;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C)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Para fins de obtenção de Aposentadoria Especial: 20 (vinte) dias úteis.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NONA - FARMÁCIA.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procederão 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esde que autorizado pelos trabalhadores, independentemente de notificação, descontos em folha de pagamento, relativamente às notas de farmácia referente a medicamentos e/ou produtos oferecidos a preço de laboratório pelo Sindicato Profissional, ao trabalha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dor e seus dependentes.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Parágrafo Primeiro: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O sindicato remeterá as empresas até o 25º (vigésimo quinto) dia do mês de referência, relatórios discriminando nome dos empregados que procederam retiradas de produtos/medicamentos com respectivos valores a sere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m descontados em folha de pagamento.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Parágrafo Segundo: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Caberá a empresa o repasse ao Sindicato Profissional os valores descontados dos empregados até o 5º(quinto) dia útil do mês subsequente.  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t xml:space="preserve">Jornada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Dura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çã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o, Distribui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çã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o, Controle, Faltas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Compensação de Jornada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QUADRAGÉSIMA - DIAS PONTES.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poderão liberar o trabalho em dias úteis intercalados com feriados e fins de semana, através de compensação, anter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ior e posterior, dos respectivos dias, desde que aceita a liberação e a forma de compensação por no mínimo, 2/3 (dois terços) dos seus empregados, inclusive, mulheres e menores.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Faltas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QUADRAGÉSIMA PRIMEIRA - ABONO DE FALTA AO EMPREGADO ESTUD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ANTE.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Abono de falta ao empregado estudante, para prestação de exames, desde que esteja regularmente matriculado em curso técnico ou superior, ministrado por estabelecimento de ensino oficial, autorizado ou reconhecido, pré-avisado o empregador com o mí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nimo de 72 (setenta e duas) horas e com posterior comprovação e desde que o horário dos exames seja coincidente com o horário de trabalho.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QUADRAGÉSIMA SEGUNDA - AUSÊNCIA JUSTIFICADA.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trabalhador poderá deixar de comparecer ao serviço, sem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prejuízo do salário e mediante comprovação, por 01 (um) dia ao ano para levar ao médico filho dependente, quando coincidente com dia normal de trabalho.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sobre jornada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QUADRAGÉSIMA TERCEIRA - BANCO DE HORAS.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Para o exercí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cio desta cláusula, as empresas deverão formalizar o respectivo acordo de Banco de Horas com o Sindicato dos Trabalhadores da base territorial correspondente,  mediante assembleia específica dos seus empregados, com aprovação de no mínimo 2/3 (dois terços)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dos trabalhadores, registrando o correspondente acordo no Ministério do Trabalho.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Com base no art. 7º, inciso XXVI, da Constituição Federal, no art. 59 da CLT e seus parágrafos, com a redação dada pela Lei nº 9.601, de 21.01.98, instituem o Banco de Horas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 que será regido por um sistema de débito e crédito, conforme condições abaixo: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4E087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A partir do ato solene de assinatura deste instrumento estará instituído no âmbito do departamento da EMPREGADORA, o sistema de BANCO DE HORAS, que irá possibilitar aos EMPR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EGADOS 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t>armazenarem horas trabalhadas a maior ou a menor, durante a semana/mês e nos moldes do presente acordo.</w:t>
                  </w:r>
                </w:p>
                <w:p w:rsidR="00000000" w:rsidRDefault="004E087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Fica estabelecido que o limite máximo para a compensação a maior ou a menor, em relação à jornada contratual, será compensado no perí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odo semestral.</w:t>
                  </w:r>
                </w:p>
                <w:p w:rsidR="00000000" w:rsidRDefault="004E087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Fica estabelecido que a empregadora para fazer uso deste instrumento quanto a aumento da jornada de trabalho terá que dar ciência as partes envolvidas com um período não inferior a 48 horas de antecedência.</w:t>
                  </w:r>
                </w:p>
                <w:p w:rsidR="00000000" w:rsidRDefault="004E087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Fica estabelecido, uma jornada máx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ima de 44 horas para compensação a maior ou a menor durante cada semestre.</w:t>
                  </w:r>
                </w:p>
                <w:p w:rsidR="00000000" w:rsidRDefault="004E087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No final do período estabelecido no item anterior, o saldo de horas deverá ser apurado. As horas restantes do saldo, não compensadas até o final do período serão remuneradas como ex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traordinárias nos termos vigente, inclusive quanto aos reflexos.</w:t>
                  </w:r>
                </w:p>
                <w:p w:rsidR="00000000" w:rsidRDefault="004E087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Havendo débito da parte profissional, o débito será automaticamente transferido para o período subsequente.</w:t>
                  </w:r>
                </w:p>
                <w:p w:rsidR="00000000" w:rsidRDefault="004E087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Em caso de desligamento de qualquer dos empregados abrangidos pelo presente acordo,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por iniciativa de qualquer das partes, no caso de saldo positivo, as horas não compensadas, será remunerada como extraordinária na rescisão contratual.</w:t>
                  </w:r>
                </w:p>
                <w:p w:rsidR="00000000" w:rsidRDefault="004E087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Em caso de desligamento de qualquer dos empregados abrangidos pelo presente acordo, as horas por ele de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vidas não serão descontadas na rescisão contratual.</w:t>
                  </w:r>
                </w:p>
                <w:p w:rsidR="00000000" w:rsidRDefault="004E087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As horas “laboradas” excedentes da jornada contratual e compensadas de acordo com os critérios deste acordo não terão caráter de labor extraordinário e para o efeito de compensação serão computados nas ba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ses de uma por uma.</w:t>
                  </w:r>
                </w:p>
                <w:p w:rsidR="00000000" w:rsidRDefault="004E087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O s saldos positivos de horas poderão ser utilizados para compensação de (pontes) feriados prolongados em final ou inicio de semana.</w:t>
                  </w:r>
                </w:p>
                <w:p w:rsidR="00000000" w:rsidRDefault="004E087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Se houver interesse do empregado e mediante sua expressa solicitação, os saldos positivos de horas pode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rão ser utilizados para compensação em períodos adicionais de férias.</w:t>
                  </w:r>
                </w:p>
                <w:p w:rsidR="00000000" w:rsidRDefault="004E087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O sistema de flexibilização de jornada de trabalho ora estabelecido não prejudicará o direito dos empregados quanto ao intervalo mínimo de 11 (onze) horas consecutivas para descanso entr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e jornadas, respeitando o limite de 10 horas de jornada máxima conforme art. 59, parágrafo 2. da CLT.</w:t>
                  </w:r>
                </w:p>
                <w:p w:rsidR="00000000" w:rsidRDefault="004E087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O trabalhador que comprovar estar estudando ou frequentando curso de qualificação está desobrigado de cumprir este acordo.</w:t>
                  </w:r>
                </w:p>
                <w:p w:rsidR="00000000" w:rsidRDefault="004E087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Domingo e feriados não faz part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e deste acordo, portanto se trabalhado tem que ser remunerado conforme Convenção Coletiva de Trabalho. Aos sábados está autorizado uma jornada não superior a 04 horas de trabalho a ser computados como banco de horas.</w:t>
                  </w:r>
                </w:p>
                <w:p w:rsidR="00000000" w:rsidRDefault="004E087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A vigência do presente acordo será de 0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1 de maio de 2015 á 30 de abril de 2016 e abrangerá a todos os empregados admitidos no período de vigência, os quais integrarão automaticamente o sistema de BANCO DE HORAS.</w:t>
                  </w:r>
                </w:p>
                <w:p w:rsidR="00000000" w:rsidRDefault="004E087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Ocorrendo a necessidade de saídas antecipadas ou entradas tardias, as horas não lab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oradas por tais motivos serão computadas no BANCO DE HORAS, desde que previamente comunicadas a ocorrência e a necessidade ao superior hierárquico.</w:t>
                  </w:r>
                </w:p>
                <w:p w:rsidR="00000000" w:rsidRDefault="004E087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O saldo de horas será administrado pelo empregador através de um controle individual, sendo comunicado aos e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mpregados semanalmente, e entregue um relatório mensalmente junto com o pagamento.</w:t>
                  </w:r>
                </w:p>
                <w:p w:rsidR="00000000" w:rsidRDefault="004E087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Ficam excluídos do presente ACORDO: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4E087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Os Diretores, Gerentes e Supervisores por exercerem cargo de confiança e por não estarem sujeitos a controle de horário;</w:t>
                  </w:r>
                </w:p>
                <w:p w:rsidR="00000000" w:rsidRDefault="004E087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Os trabalhador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es avulsos e temporários;</w:t>
                  </w:r>
                </w:p>
                <w:p w:rsidR="00000000" w:rsidRDefault="004E087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Os terceiros e entre eles, os estagiários;</w:t>
                  </w:r>
                </w:p>
                <w:p w:rsidR="00000000" w:rsidRDefault="004E087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Os prestadores de Serviços;</w:t>
                  </w:r>
                </w:p>
                <w:p w:rsidR="00000000" w:rsidRDefault="004E087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Funcionários que exercem atividade externa (Contatos Publicitários).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19. Toda compensação deverão atender as necessidades e interesses de ambas as partes.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Férias e Licenças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Duração e Concessão de Férias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QUADRAGÉSIMA QUARTA - FÉRIAS.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início das férias, coletivas ou individuais, integrais ou parceladas, não poderá coincidir com sextas-feiras, sábados, domingos, feriados ou dias pontes já com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pensados.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Parágrafo Único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 -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Quando as férias coletivas concedidas parceladamente, abrangerem os dias 25 de Dezembro e 1º de Janeiro, estes dias não serão computados como férias e, portanto, excluídos da contagem dos dias corridos regulamentares.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Licença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Remunerada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QUADRAGÉSIMA QUINTA - LICENÇA CASAMENTO.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No caso de casamento do empregado a licença remunerada será de 03 (três) dias úteis consecutivos.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Saúde e Segurança do Trabalhador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Condições de Ambiente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QUADRAG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ÉSIMA SEXTA - CONVÊNIO MÉDICO.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empresas, de forma coletiva ou individual, são obrigadas a estabelecer assistência ambulatorial a todos seus empregados e respectivos dependentes. Para isso, deverão utilizar mensalmente valor idêntico a 1,5% (um e meio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por cento) do total da Folha de Pagamento, sem descontos ou abatimentos, inclusive a folha relativa ao 13º (décimo terceiro) Salário.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Parágrafo 1º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-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Para atender a assistência ambulatorial as empresas poderão: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A)-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Firmar contratos coletivos ou individuais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de prestação de serviços médico ambulatorial; ou,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B)-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Contratar serviços médicos através de cooperativas médica de trabalho (convênio médico).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Parágrafo 2º-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Não é permitida nenhuma exclusão, separação, divisão ou distinção de empregados.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QUADRAG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ÉSIMA SÉTIMA - ÁGUA POTÁVEL.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Nos locais de trabalho deve ser fornecido, água fresca e potável em bebedouro elétrico, com jato inclinado.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Uniforme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QUADRAGÉSIMA OITAVA - UNIFORMES E FERRAMENTAS.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Fornecimento gratuito de uniformes e demais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peças de vestimentas e de ferramentas, próprios para o trabalho, aos empregados, com o uso obrigatório por parte destes, quando exigidos pelas empresas, ficando sob a responsabilidade do empregado sua conservação e devolução à empresa quando da cessação 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relação de trabalho.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Parágrafo Único: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As empresas fornecerão gratuitamente aos empregados, calçados e vestimentas adequadas e próprias para o trabalhador que desempenha suas funções nas seções de pintura, ficando o empregado responsável pela conservaçã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e devolução destes quando da cessação da relação do trabalho.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CIPA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composi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çã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o, elei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çã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o, atribui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çõ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es, garantias aos cipeiros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QUADRAGÉSIMA NONA - CIPA.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empresa comunicará o iní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cio do processo eleitoral da CIPA a Entidade Sindical dos Trabalhadores, e após a realização das eleições da CIPA será comunicada também a entidade o resultado, indicando-se os eleitos e os respectivos suplentes.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Aceitação de Atestados Médicos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 QUINQUAGÉSIMA - ATESTADOS MÉDICOS E ODONTOLÓGICOS.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que não mantêm serviços médicos próprio ou através de convênio, deverão aceitar os atestados médicos e odontológicos expedidos pelo médico ou odontólogo do ambulatório do Sindicato.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Rel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Sindicalização (campanhas e contratação de sindicalizados)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QUINQUAGÉSIMA PRIMEIRA - SINDICALIZAÇÃO.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Com objetivo de incrementar a sindicalização (associação ao Sindicato) dos empregados, as empresas colocarão à disposição 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Sindicato dos Trabalhadores convenentes, uma vez por ano, local para esse fim.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Acesso do Sindicato ao Local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QUINQUAGÉSIMA SEGUNDA - UTILIZAÇÃO DO QUADRO DE AVISOS.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Sindicato dos Trabalhadores utilizará um quadro de avisos f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ornecido pela empresa, em local de fácil acesso e visibilidade, para afixação de comunicados, informações e convocações, bem como receptor para boletins.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Parágrafo Único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Todo material a ser exposto no quadro de aviso, será previamente submetido a aprovaç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ão da empresa.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Representante Sindical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QUINQUAGÉSIMA TERCEIRA - DIRIGENTES DO SINDICATO: AUSÊNCIAS.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Os dirigentes sindicais, eleitos para compor a diretoria que administrará o Sindicato, no número máximo legal, no máximo de 02 (dois) por em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presa, não afastados de suas funções na empresa, poderão ausentar-se do serviço até 05 (cinco) dias, por ano, sem prejuízo nas férias, 13º salário e descanso semanal remunerado, desde que avisada a empresa, por escrito, pelo Sindicato, com antecedência mín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ima de 48 (quarenta e oito) horas.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Contribuições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QUINQUAGÉSIMA QUARTA - MENSALIDADE SINDICAL.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descontarão as mensalidades do Sindicato diretamente do salário de seus empregados sócios desde que expressamente autorizad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por esses. O valor dos descontos das mensalidades ficará à disposição do Sindicato beneficiário a partir do 10º (décimo) dia do mês subsequente ao competente para o desconto.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QUINQUAGÉSIMA QUINTA - CONTRIBUIÇÃO NEGOCIAÇÃO/ASSISTENCIAL DOS EMP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REGADOS.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Considerando que as assembleias foram abertas à categoria, inclusive aos não filiados, na forma do artigo 617, parágrafo segundo, da CLT;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Considerando que a categoria como um todo, independentemente de filiação sindical, foi representada nas ne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gociações coletivas, de acordo com o estabelecido nos incisos III e VI do artigo oitavo da Constituição da República e abrangida, sem nenhuma distinção na presente convenção coletiva;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Considerando que a representação da categoria, associados ou nã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e sua abrangência no instrumento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normativo, não afeta a liberdade sindical consagrada no inciso V do artigo oitavo da Constituição Federal;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Considerando que a mesma assembleia que autorizou o Sindicato a manter negociações coletivas e celebrar este acord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fixou livre e democraticamente a contribuição de custeio abaixo especificada: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empresa descontará em folha de pagamento a Contribuição Assistencial de seus empregados, sindicalizados ou não, conforme o que foi deliberado pela respectiva Assembleia Geral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do Sindicato de Trabalhadores, recolhendo-as aos mesmos, até o dia 10 (dez) de cada mês subsequente à competência do salário de maio de 2015, juntamente com relação nominal dos empregados para controle da entidade com o valor da contribuição correspondent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e.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1º: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O Sindicato dos Trabalhadores dará publicidade da contribuição, inclusive valor, periodicidade para desconto e recolhimento aos empregados e à empresa, com prazo hábil para desconto, bem como, para que os não associados, no prazo de 30 (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trinta) dias úteis, a partir da publicidade deste instrumento exerça seu direito de oposição junto ao Sindicato dos Trabalhadores.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Parágrafo 2º: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sindicato profissional, desde já isenta a empresa de qualquer responsabilidade sobre os descontos realizados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por força do artigo 8º, IV, da Constituição Federal, e assume a obrigação para com a devolução de eventuais valores cobrados em reclamação trabalhista, desde que conste da Ata da Audiência de Conciliação ou da Sentença.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3º: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 contribuição dos emp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regados foi fixada da seguinte forma: 1,5% ao mês (exceto sobre o mês de março e sobre o 13º Salário) de todos os trabalhadores integrantes da categoria, de acordo com as Assembleias Gerais Extraordinárias de 09/04/2015 em Votuporanga e de 10/04/20415 em M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irassol, ambas publicadas no Jornal Agora São Paulo em 01/04/2015, Página A-6 e no Jornal Informativo da entidade - O Serra Pau , durante o mês de abril/2015.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QUINQUAGÉSIMA SEXTA - CONTRIBUIÇÃO ASSISTENCIAL PATRONAL.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abrangidas pe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la categoria econômica específica das Indústrias de Móveis, devidamente cadastradas junto ao Sindicato Patronal representativo, deverão recolher a Contribuição Assistencial Empresarial, com fundamento nos artigos 8º(oitavo), inciso IV da Constituição Feder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al e artigo 548 da C.L.T., conforme critério e demais condições diferenciadas, respectivamente aprovados na Assembleia Patronal convocada para este específico fim.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Parágrafo Primeiro: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Esta Contribuição Assistencial Patronal deverá ser recolhida em favor do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Sindicato Patronal respectivo, até o dia 10(dez) de cada mês, junto à entidade bancária e conta corrente mencionada na competente guia de recolhimento expedida pelo SINDICATO PATRONAL e encaminhada às empresas, em tempo hábil, nos valores estabelecidos na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conformidade da especificidade da atividade e do respectivo efetivo de empregados por estabelecimento, segunda a tabela e demais condições a seguir: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N.º Empregados                                                 Valor da Contribuição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00  a   10          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                                                  15%   do salário normativo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11  a   20                                                             25%   do salário normativo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21  a   30                                                             35%   do 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alário normativo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31   a   40                                                            45%   do salário normativo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41   a   50                                                            55%   do salário normativo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51   a   60                               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                            65%   do salário normativo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61   a 100                                                            75%   do salário normativo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101 a150                                                            85%   do salário normativo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151 a200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                                                           95%   do salário normativo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Acima de 201                                                     100% do salário normativo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Parágrafo Segundo: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recolhimento desta contribuição fora do prazo estabelecido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no parágrafo antecedente, sujeitará a empresa ao acréscimo de multa de 10% (dez por cento) e de juros de mora de 1,0% (um inteiro por cento) por mês incidente sobre o valor da contribuição, acrescido de multa, sem prejuízo da correção monetária.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Parágrafo</w:t>
                  </w: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Terceiro: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Quando solicitado pelo Sindicato Patronal, as empresas fornecerão, no prazo de 30 (trinta) dias contados a partir do recebimento da solicitação, cópias das guias de recolhimento da contribuição estabelecida no </w:t>
                  </w:r>
                  <w:r>
                    <w:rPr>
                      <w:rStyle w:val="nfase"/>
                      <w:rFonts w:ascii="Arial" w:hAnsi="Arial" w:cs="Arial"/>
                      <w:sz w:val="21"/>
                      <w:szCs w:val="21"/>
                    </w:rPr>
                    <w:t>caput,</w:t>
                  </w: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acompanhada da relação nomin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al dos empregados.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sobre relação entre sindicato e empresa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QUINQUAGÉSIMA SÉTIMA - MUDANÇA/TRANSFERÊNCIA DE ENDEREÇO.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deverã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no prazo de 30(trinta) dias informar ao Sindicato dos Empregados e dos Empregadores, quando for o caso, o novo endereço da sua atividade.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QUINQUAGÉSIMA OITAVA - COMISSÃO PARITÁRIA.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Fica instituída a Comissão Paritá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ria entre as partes, Sindicato Profissional e Sindicato Patronal, com a finalidade buscar solução dos seguintes itens: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A)-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Estudar a criação de um Piso Salarial Profissional, ou seja salários diferenciados entre qualificados e não qualificados, com a final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idade de valorizar a qualificação profissional na categoria. Nesta tarefa fará parte da comissão membros do Senai (CEMAD de Votuporanga);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B)-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Estudar uma solução para  o cumprimento da Lei 10.101, de 19 de dezembro de 2000, que diz sobre a PLR (Participaçã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nos Lucros e Resultados);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C)-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Estudar  uma redação para que as empresas possam implantar o Banco de Horas;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D)-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Buscar soluções de problemas ocorridos tanto no que dispõe a aplicação dos preceitos contidos na presente Convenção Coletiva de Trabalho, como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também aqueles decorrentes entre as empresas e seus empregados no que concerne a relação capital e trabalho dentro que dispõe a legislação trabalhista.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lastRenderedPageBreak/>
                    <w:t>Parágrafo 1.º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- A comissão será composta por 02 (dois) membros por entidade sindical  envolvida, e obrig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atoriamente realizarão uma reunião mensal, sempre  na 2ª (segundas-feiras) de cada mês, às oito horas, na sede do Sindicato da Indústria do Mobiliário de Mirassol ou onde a comissão julgar necessário.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Parágrafo 2.º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 -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As partes deverão, sem medir esforços,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buscar a solução do conflito, orientando seus representados, ou seja, os trabalhadores e as empresas, para que, resolvam a pendência dentro do que dispõe a legislação trabalhista e as normas coletivas.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Parágrafo 3.º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 -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Não sendo possível a solução durante 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decorrer da reunião mensal, as partes se comprometem manter a continuidade dos entendimentos, inclusive, quando for o caso, diretamente com as partes envolvidas.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Disposições Gerais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Mecanismos de Solução de Conflitos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QUINQUAGÉSIMA NONA - J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UÍZO COMPETENTE.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Será competente a Justiça do Trabalho para dirimir quaisquer divergências surgidas na aplicação da presente Convenção, desde que esgotadas as tentativas de solução amigável.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Renovação/Rescisão do Instrumento Coletivo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SEXAG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ÉSIMA - PRORROGAÇÃO, REVISÃO, DENÚNCIA OU REVOGAÇÃO.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processo de prorrogação, revisão, denúncia ou revogação, total ou parcial, da presente Convenção ficará às normas estabelecidas pelo artigo 615 da Consolidação das Leis do Trabalho.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Outras Disposi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ções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SEXAGÉSIMA PRIMEIRA - MULTA.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Multa equivalente a 1% (um por cento) do salário normativo, por empregado prejudicado, no caso de descumprimento das obrigações de fazer constantes desta Convenção, revertendo o benefício em favor da parte p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rejudicada, excluídas as cláusulas que tenham combinações específicas, legais ou nesta Convenção.</w:t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Parágrafo Único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-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Antes de quaisquer outras medidas, o Sindicato dos Trabalhadores deverá proceder notificação à empresa, apontando a irregularidade e concede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ndo-lhe 30 (trinta) dias para normalizar a situação.</w:t>
                  </w:r>
                </w:p>
                <w:p w:rsidR="00000000" w:rsidRDefault="004E0876">
                  <w:pPr>
                    <w:spacing w:after="24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88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E087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lastRenderedPageBreak/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GILMAR ANTONIO GUILHEN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 TRAB INDS CONST MOBIL M IND MIRASSOL E VOTUPORANGA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GILMAR ANTONIO GUILHEN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Vice-Presidente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FED.T.I.C.C.P.P.G.E.T.M.II.E.M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PEDRO BENVINDO RODRIGUES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DA INDUSTRIA DO MOBILIARIO DE MIRASSOL-SP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I - ATA ASSEMBLEIA PROFISSIONAL (VOTUPORANGA)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6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:rsidR="00000000" w:rsidRDefault="004E0876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II - ATA ASSEMBLEIA PROFISSIONAL (MIRASSOL)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7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:rsidR="00000000" w:rsidRDefault="004E0876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III - ATA ASSEMBLEIA FETICOM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8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:rsidR="00000000" w:rsidRDefault="004E0876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IV - ATA ASSEMBLEIA PATRONAL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4E087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9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:rsidR="00000000" w:rsidRDefault="004E087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   A autenticidade deste documento poderá ser confirmada na página do Ministério do Trabalho e Emprego na Internet, no endereço http://www.mte.gov.br.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000000" w:rsidRDefault="004E0876">
            <w:pPr>
              <w:rPr>
                <w:rFonts w:eastAsia="Times New Roman"/>
              </w:rPr>
            </w:pPr>
          </w:p>
        </w:tc>
      </w:tr>
    </w:tbl>
    <w:p w:rsidR="004E0876" w:rsidRDefault="004E0876">
      <w:pPr>
        <w:rPr>
          <w:rFonts w:eastAsia="Times New Roman"/>
        </w:rPr>
      </w:pPr>
    </w:p>
    <w:sectPr w:rsidR="004E0876">
      <w:pgSz w:w="11907" w:h="16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61928"/>
    <w:multiLevelType w:val="multilevel"/>
    <w:tmpl w:val="95241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F50265"/>
    <w:multiLevelType w:val="multilevel"/>
    <w:tmpl w:val="29AE6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25F80"/>
    <w:rsid w:val="004E0876"/>
    <w:rsid w:val="00F2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 w:cs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 w:cs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mte.gov.br/sistemas/mediador/imagemAnexo/MR050998_20152015_08_05T09_04_4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3.mte.gov.br/sistemas/mediador/imagemAnexo/MR050998_20152015_08_04T16_16_3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3.mte.gov.br/sistemas/mediador/imagemAnexo/MR050998_20152015_08_04T16_14_54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3.mte.gov.br/sistemas/mediador/imagemAnexo/MR050998_20152015_08_05T13_33_57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6750</Words>
  <Characters>36453</Characters>
  <Application>Microsoft Office Word</Application>
  <DocSecurity>0</DocSecurity>
  <Lines>303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Mediador - Extrato Convenção Coletiva </vt:lpstr>
    </vt:vector>
  </TitlesOfParts>
  <Company/>
  <LinksUpToDate>false</LinksUpToDate>
  <CharactersWithSpaces>43117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Convenção Coletiva</dc:title>
  <dc:creator>Usuario</dc:creator>
  <cp:lastModifiedBy>Usuario</cp:lastModifiedBy>
  <cp:revision>2</cp:revision>
  <dcterms:created xsi:type="dcterms:W3CDTF">2015-10-01T18:09:00Z</dcterms:created>
  <dcterms:modified xsi:type="dcterms:W3CDTF">2015-10-01T18:09:00Z</dcterms:modified>
</cp:coreProperties>
</file>